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11 149 vom 2. Februar 2015</w:t>
      </w:r>
    </w:p>
    <w:p>
      <w:r>
        <w:t>VS Kantonsgericht, 2015-02-02, FR</w:t>
      </w:r>
    </w:p>
    <w:p>
      <w:r>
        <w:rPr>
          <w:b/>
        </w:rPr>
        <w:t xml:space="preserve">Quelle: </w:t>
      </w:r>
      <w:r>
        <w:t>https://mcp.opencaselaw.ch/entscheid/vs_gerichte_C1 11 149</w:t>
      </w:r>
    </w:p>
    <w:p>
      <w:r>
        <w:t>FR: VS_GERICHTE C1 11 149 du 2 février 2015</w:t>
      </w:r>
    </w:p>
    <w:p>
      <w:r>
        <w:t>IT: VS_GERICHTE C1 11 149 del 2 febbraio 2015</w:t>
      </w:r>
    </w:p>
    <w:p>
      <w:pPr>
        <w:pStyle w:val="Heading2"/>
      </w:pPr>
      <w:r>
        <w:t>Erwägungen</w:t>
      </w:r>
    </w:p>
    <w:p>
      <w:r>
        <w:rPr>
          <w:b/>
        </w:rPr>
        <w:t>E. 1</w:t>
      </w:r>
    </w:p>
    <w:p>
      <w:r>
        <w:t>Les normes SIA ne sont pas l’expression d’un usage, mais ont le caractère de conditions générales. Elles ne sont applicables que si les parties ont convenu, expressément ou par actes concluants, de les incorporer à leur contrat (MORIN, Commentaire romand, n. 169 ad art. 1 CO; arrêt 4A_548/2013 du 31 mars 2014 consid. 3.3.1; ATF 118 II 295 consid. 2). L’incorporation des conditions générales dans un contrat résulte donc d’un accord entre les parties en vertu duquel celles-ci acceptent que des conditions générales déterminées règleront tout ou partie de leur contrat (en tant que partie intégrante de celui-ci).</w:t>
      </w:r>
    </w:p>
    <w:p>
      <w:r>
        <w:t>Cet accord peut être exprès ou tacite. Il découle souvent d’un simple renvoi aux conditions générales concernées. L’acceptation d’une partie est globale lorsque celle-ci n’a pas pris connaissance du contenu des conditions générales, n’y a pas réfléchi ou ne les a pas comprises (GAUCH/SCHLUEP/SCHMID, Schweizerisches Obligationenrecht, AT, n. 1130). Le principe de la confiance permet d’opposer des conditions générales à la partie qui a consenti à leur incorporation globale, sous réserve du caractère insolite d’une close particulière. En effet, en acceptant d’intégrer au contrat des clauses qu’elle n’avait pas lues ou pas comprises alors qu’elle avait la possibilité de le faire, elle a objectivement indiqué à l’autre partie qu’elle en assumait le contenu (ATF 135 III 1 consid. 2; 119 II 443 consid. 1a; MORIN, op. cit., n. 173 ad art. 1 CO).</w:t>
      </w:r>
    </w:p>
    <w:p>
      <w:r>
        <w:t>La partie qui entend se prévaloir d'une norme SIA doit donc alléguer et prouver les circonstances de fait démontrant qu'il a été convenu de l'incorporer dans le contrat.</w:t>
      </w:r>
    </w:p>
    <w:p>
      <w:r>
        <w:rPr>
          <w:b/>
        </w:rPr>
        <w:t>E. 2</w:t>
      </w:r>
    </w:p>
    <w:p>
      <w:r>
        <w:t>Le contrat d'architecte qui comprend non seulement la direction de travaux mais également l'établissement de plans, constitue un contrat mixte qui relève, suivant les prestations, du contrat d'entreprise ou du mandat (arrêt 4A_471/2010, consid. 4.3.2; ATF 127 III 543 consid: 2a; TERCIER/FAVRE, n. 4314 p. 648 et n. 5343 ss p. 804 s.). Ainsi, lorsqu’un architecte est chargé d’établir des plans, des soumissions ou des projets de construction, il conclut un contrat d’entreprise (art. 363 CO); s’il est chargé des adjudications et de la surveillance des travaux, il s’agit d’un mandat (art. 394 CO); si sa mission englobe des activités relevant des deux catégories, le contrat est mixte et relève, suivant les prestations, du mandat ou du contrat d’entreprise (ATF 127 III 543 consid. 2a). Le contrat d'architecte global – qui n’est soumis à aucune forme particulière (arrêt 4A_663/2012 du 6 mars 2013 consid. 5.2.1; TERCIER/FAVRE, Les contrats spéciaux, n. 5365) – est celui par lequel un architecte se charge au moins de l'établissement des</w:t>
      </w:r>
    </w:p>
    <w:p>
      <w:r>
        <w:t>- 32 - plans (esquisses et projets de construction, plans d'exécution et de détail) et de la direction des travaux, avec ou sans l'adjudication de travaux. Ce contrat constitue un contrat mixte, qui relève, suivant les prestations, du mandat ou du contrat d'entreprise (arrêts 4A_471/2010 du 2 décembre 2010 consid. 4.3.2; 4C.87/2003 du 25 août 2003 consid. 4.3.2, non publié aux ATF 129 III 738). Une dissociation concernant les conséquences juridiques est ainsi envisageable, en ce sens que la responsabilité pour une faute de plan peut s’analyser au regard des règles du contrat d’entreprise et celle pour la mauvaise direction des travaux d’après les règles du mandat (ATF 109 II 462 consid. 3d; cf. ég. ATF 134 III 361 consid. 5.1; arrêts 4A_90/2013 du 10 juin 2013 consid. 3; 4A_53/2012 du 31 juillet 2012 consid. 3.4; 4A_252/2010 du 25 novembre 2010 consid. 4.1). La jurisprudence a posé qu’il fallait appliquer les règles du mandat en ce qui concerne la responsabilité de l’architecte pour une mauvaise évaluation du coût des travaux (ATF 119 II 249 consid. 3b), bien qu’elle admette l’existence d’un contrat d’entreprise lorsque l’architecte est chargé exclusivement d’élaborer un devis écrit (ATF 114 II 53 consid. 2b). En particulier, le Tribunal fédéral (cf. ATF 114 II 53 consid. 2b) ne s’est pas rallié à l’opinion de Gauch, selon laquelle le contrat d’architecte global doit être soumis de manière uniforme aux règles du mandat (GAUCH, Der Werkvertrag, n. 58-61, p. 22 s.; dans le même sens, cf. ég. FELLMANN, Haftung von Architekt und Ingenieur, in Koller [Hrsg.], Haftung für Werkmängel, p. 85 s.; SCHUMACHER, Die Haftung des Architekten aus Vertrag, in Gauch/Tercier, Le droit de l’architecte, p. 113 ss, n. 397, p. 127 et note de pied 58, pour qui la dissociation n’est guère envisageable lorsque l’erreur de construction trouve son origine dans la phase de planification et se répercute lors de la phase d’exécution des travaux). La seule mention, à l’ATF 127 III 543 consid. 2a, selon laquelle « une partie de la doctrine voudrait que la responsabilité de l'architecte global soit soumise exclusivement aux règles du mandat » ne signifie pas que la Haute Cour ait modifié en ce sens sa jurisprudence. Dans sa pratique la plus récente, le Tribunal fédéral s’en tient donc à la qualification du contrat d’architecte global en tant que contrat mixte (ATF 134 III 361 consid. 5.1; plus récemment, cf. arrêts 4A_53/2012 précité consid. 3.5; 4C.259/2006 du 23 octobre 2006 consid. 2; CHAIX, Commentaire romand, n. 29 ad art. 363 CO).</w:t>
      </w:r>
    </w:p>
    <w:p>
      <w:r>
        <w:t>D’un autre côté, les règles du mandat trouvent application sans autre au contrat d’architecte global, en particulier l’art. 394 al. 3 CO, lorsque les parties n'ont pas explicitement convenu d'une rémunération. En effet, dans cette hypothèse, il se justifie d'appliquer l'art. 394 al. 3 CO à l'ensemble des prestations du contrat d’architecte global, car une distinction entre les deux catégories (i.e. prestations relevant du mandat [art. 394 al. 3 CO] et prestations relevant de l’entreprise [art. 374 ss CO]) n'engendrerait</w:t>
      </w:r>
    </w:p>
    <w:p>
      <w:r>
        <w:t>- 33 - pratiquement aucune différence dans le résultat; si nécessaire, le juge doit arrêter une rémunération objectivement proportionnée aux services rendus, en tenant compte notamment du genre et de la durée de la mission accomplie, de son importance et de ses difficultés, et de la responsabilité assumée par l'architecte (arrêt 4A_230/2013 du 17 septembre 2013 consid. 2; EGLI/STÖCKLI, Das Planerhonorar, in Die Planerverträgen, n. 7.37 et 7.44). Enfin, relèvent également du mandat les mesures à prendre si des défauts apparaissent en cour d'exécution, parce que cette activité se rattache à la direction et au contrôle des travaux (arrêts 4C.14/2002 du 5 juillet 2002 consid. 4.2; 4C.81/2000 du 23 mai 2000 consid. 2a, in SJ 2001 I p. 136; ATF 110 II 380 consid. 2).</w:t>
      </w:r>
    </w:p>
    <w:p>
      <w:r>
        <w:rPr>
          <w:b/>
        </w:rPr>
        <w:t>E. 3</w:t>
      </w:r>
    </w:p>
    <w:p>
      <w:r>
        <w:t>Selon la demanderesse, trois contrats (vente immobilière, contrat d'architecte, contrat de courtage) seraient interdépendants. Selon elle, l'objet de la vente comporte notamment les plans de construction et les travaux effectués depuis février 2009 ; tout ce qui avait été effectué et exécuté avant cette date incomberait à la défenderesse ; elle aurait payé des factures revenant à la défenderesse, pour éviter l'inscription d'une hypothèque légale ; la vente immobilière comporterait dans le prix des travaux d'architecture ; le contrat d'architecte serait grandement incorporé dans la vente immobilière.</w:t>
      </w:r>
    </w:p>
    <w:p>
      <w:r>
        <w:t>En l’espèce, le 16 juillet 2009, la demanderesse a non seulement signé avec la défenderesse l’acte de vente, mais aussi le contrat relatif à des prestations d'architecte et de direction des travaux avec la défenderesse concernant le même ensemble résidentiel "xxx", à L _________, dans lequel les honoraires d'architecte étaient fixés forfaitairement et s'élevaient à x’xxx’xxx fr. TTC pour l'ensemble résidentiel. Les plans cédés dans le cadre du contrat de vente concernaient le même ensemble résidentiel que celui visé par le contrat relatif aux prestations d'architecte. Ce contrat d'architecte était un "mandat total d'architecte", comprenant l'accomplissement de toutes les prestations ordinaires nécessaires (selon un tableau joint au contrat). En outre, aucun montant des acomptes d'honoraires prévus par ce contrat n'avait été rectifié, contrairement à certaines échéances de paiement qui avaient été modifiées à la main. Sur cette base déjà, toutes les prestations d'architecte ne pouvaient pas être incluses dans le contrat de vente, eu égard à la teneur du contrat d'architecte signé en parallèle.</w:t>
      </w:r>
    </w:p>
    <w:p>
      <w:r>
        <w:t>En réalité, les prestations de la défenderesse font l'objet de deux contrats distincts. L'acte de vente indique qu’un mandat d'architecte et de surveillance du chantier est attribué à la venderesse. Parallèlement, un contrat d'architecte et de direction des travaux a été conclu entre les parties. Selon le contrat, le mandat comprenait les</w:t>
      </w:r>
    </w:p>
    <w:p>
      <w:r>
        <w:t>- 34 - prestations suivantes : mandat total d'architecte (prestation totale à 100 %) avec la direction des travaux, décompte final et direction des travaux de garantie sur l'immeuble vendu. Les contrats signés le 16 juillet 2009 concernent l'un, une vente et l'autre, signé parallèlement, des prestations d'architecte. Les deux contrats sont de natures différentes. Professionnelle de la branche, assistée de professionnels, la demanderesse - dont les buts sont notamment l'exécution de promotions immobilières - ne pouvait pas ignorer, lors de la signature, qu'elle signait deux contrats de natures différentes. Les premiers rapports d’expertise judiciaire (du 6 mai 2010 et du 24 septembre 2010) indiquent que le montant total dû pour la prestation de la défenderesse depuis le début du contrat jusqu'à sa résiliation s'élève à xxx’xxx fr. TTC (expertise YY _________). Ce total de xxx’xxx fr. correspond à la première tranche de xxx’xxx fr. exigible dès le 1er juin 2009, plus la deuxième tranche de xxx’xxx fr. exigible dès le 31 août 2009, ainsi que xxx’xxx fr., à savoir la part réalisée au moment de la résiliation du mandat. Le déroulement du chantier n'a pas donné lieu à des problèmes, comme en attestent les procès-verbaux de chantier qui n'ont donné lieu à aucune remarque de la part de la demanderesse. La surexpertise du 1er décembre 2011 (expertise F _________) retient un montant de xxx’xxx fr.</w:t>
      </w:r>
    </w:p>
    <w:p>
      <w:r>
        <w:t>En l’occurrence, le tribunal retient l’opinion de l’expert HH _________ (expertise, p. 23 ; do. p. 1711; expertise compl., p. 10 ; do. p. 1816). Le coût des travaux effectués jusqu’au 16 juillet 2009 n’incombait pas à la défenderesse. En effet, si la volonté des parties avait été d’inclure dans l’acte de vente non seulement le prix de la vente des x’xxx m2 de la parcelle n° xxx de L _________ et des « plans de construction liés à la parcelle », mais d’y inclure également le prix des factures d’un montant de x’xxx’xxx fr. ou le prix des travaux effectués estimé à x’xxx’xxx fr., le prix de la vente en aurait été augmenté d’autant.</w:t>
      </w:r>
    </w:p>
    <w:p>
      <w:r>
        <w:t>Sur la base de la version la plus plausible de l’acte de vente, les honoraires dus à l’architecte sont de xxx’xxx francs. Si l’on se base sur le contrat concernant les prestations d’architecte et de direction des travaux les honoraires sont de xxx’xxx francs. Il faut ajouter à ces 2 montants l’indemnité de xx’xxx fr. pour la fin prématurée du contrat. Les honoraires dus à la défenderesse sont donc compris entre xxx’xxx fr. et xxx’xxx francs (expertise compl. p. 12 ; do. p. 1818). A l’instar de l’expert, le tribunal retient un poids égal aux deux contrats puisqu’ils ont été signés tous deux le même jour par deux sociétés qui étaient en mesure d’apprécier la situation puisqu’elles disposaient toutes deux de l’appui de professionnels de la construction. A l’instar de l’expert, le tribunal considère que la rétribution due à la défenderesse est la moyenne arithmétique des</w:t>
      </w:r>
    </w:p>
    <w:p>
      <w:r>
        <w:t>- 35 - montants des honoraires calculés selon les 2 contrats, à savoir xxx’xxx fr. + xxx’xxx fr. (recte : xxx’xxx fr.) divisé par 2. Le montant dû selon ce mode de faire est ainsi de xxx’xxx fr., arrondi à xxx’xxx fr., sans les intérêts de retard (p. 1827). Comme les conditions pour l’obtention de l’indemnité pour résiliation anticipée du contrat sont remplies, il n’y pas lieu de réduire ce montant de xx’xxx francs.</w:t>
      </w:r>
    </w:p>
    <w:p>
      <w:r>
        <w:t>La demanderesse doit dès lors xxx’xxx fr. à la défenderesse.</w:t>
      </w:r>
    </w:p>
    <w:p>
      <w:r>
        <w:rPr>
          <w:b/>
        </w:rPr>
        <w:t>E. 4</w:t>
      </w:r>
    </w:p>
    <w:p>
      <w:r>
        <w:t>La demanderesse invoque un vice de consentement, à savoir l'existence d'une erreur essentielle lors de la conclusion du contrat de vente de la parcelle, à L _________. Selon la demanderesse, elle achetait non seulement le terrain, mais également les plans d'exécution de l'architecte et un projet dont la construction avait déjà débuté en février 2009 et qui était déjà avancé lors de la signature de l'acte de vente. La demanderesse estime que 90% des prestations d'architecte étaient comprises dans le contrat de vente. La demanderesse estime qu'en signant le contrat d'architecte, elle entendait seulement reprendre la suite du contrat d'architecte pour que la construction soit achevée et non pas conclure un nouveau contrat d'architecte portant sur l'ensemble des prestations. L'intention de celle-ci n'était donc pas de prendre en charge des prestations déjà effectuées avant la signature de l'acte de vente et qui étaient comprises dans le prix de vente.</w:t>
      </w:r>
    </w:p>
    <w:p>
      <w:r>
        <w:t>Selon l'art. 23 CO, le contrat n'oblige pas celle des parties qui, au moment de conclure, se trouvait dans une erreur essentielle. Selon l'art. 24 al. 1 ch. 3 et 4 CO, parmi d'autres cas, il y a erreur essentielle lorsque l'un des cocontractants a promis une prestation notablement plus étendue qu'il ne le voulait (ch. 3), ou lorsqu'il s'est mépris sur des faits qu'il pouvait considérer, du point de vue de la loyauté en affaires, comme des éléments nécessaires du contrat (ch. 4). Dans cette seconde hypothèse, l'erreur a porté sur un point déterminé, considéré par la victime comme un élément nécessaire du contrat, et dont l'autre partie a reconnu ou pouvait reconnaître qu'il avait un tel caractère; il faut encore que l'erreur concernât un fait qu'il est objectivement justifié de considérer comme un élément essentiel (ATF 118 II 58 consid. 3b p. 63; arrêt 4A_228/2007). Selon les art. 21 al. 1 et 31 al. 1 CO, la partie victime d'une lésion, d'une erreur essentielle, d'un dol ou d'une crainte fondée n'est pas obligée si elle déclare invalider le contrât dans le délai prévu par la loi. Par un tel droit formateur, la partie scelle définitivement le sort du contrat. Le contrat entaché d'erreur ou de dol ou conclu sous l'empire d'une crainte fondée, est tenu pour ratifié lorsque la partie qu'il n'oblige point a laissé s'écouler une année sans déclarer à l’autre sa résolution de ne pas le maintenir, ou sans répéter ce qu'elle a payé.</w:t>
      </w:r>
    </w:p>
    <w:p>
      <w:r>
        <w:t>- 36 - Le délai court dès que l'erreur ou le dol a été découvert, ou dès que la crainte s'est dissipée (art. 31 al. 2 CO).</w:t>
      </w:r>
    </w:p>
    <w:p>
      <w:r>
        <w:t>En l'espèce, la demanderesse a signé à la même date un acte de vente d'une parcelle sur laquelle un projet d'un ensemble résidentiel avait débuté et un contrat d'architecte et de direction de travaux concernant ce même ensemble résidentiel. Ce contrat comportait notamment un "mandat total d'architecte (prestation totale à 100%)" et la direction des travaux, ainsi que des honoraires forfaitaires de x’xxx’xxx fr. pour l'ensemble résidentiel, étant précisé que les deux premiers acomptes de xxx’xxx fr. devaient être réglés le 1er juin 2009 et le 31 août 2009 respectivement. Alors que certaines échéances de paiement ont été modifiées à la main sur ce contrat, les parties n'ont pas modifié la première échéance, bien que celle-ci fût antérieure à la signature du contrat. En outre, aucune autre modification n'a été apportée à la main sur ledit contrat. Professionnelle des affaires immobilières, la demanderesse était suffisamment informée lors de la signature du contrat de vente et du contrat d'architecte sur l'avancement du projet d'ensemble résidentiel "xxx". En connaissance de cause, elle a signé le contrat d'architecte et de direction de travaux qui prévoyait une prestation d'architecte totale et des honoraires forfaitaires de x’xxx’xxx fr. Il n'est pas établi qu'elle se serait méprise sur des éléments de faits essentiels. De surcroît, la demanderesse n’a pas établi qu'elle aurait invalidé le contrat dans le délai d'une année. En réalité elle a résilié le contrat et a mandaté un nouvel architecte pour terminer les travaux.</w:t>
      </w:r>
    </w:p>
    <w:p>
      <w:r>
        <w:t>L’exception découlant des art. 23 ss CO doit dès lors être rejetée.</w:t>
      </w:r>
    </w:p>
    <w:p>
      <w:r>
        <w:rPr>
          <w:b/>
        </w:rPr>
        <w:t>E. 5</w:t>
      </w:r>
    </w:p>
    <w:p>
      <w:r>
        <w:t>Initialement, selon la demanderesse, le contrat d’architecte a été effectué de manière défectueuse, car la défenderesse n'a pas assumé la direction et la surveillance des travaux comme les règles de l'art le lui imposaient. Elle se réfère ainsi au rapport de l’architecte V _________ du 2 avril 2010. Elle invoque l’art. 398 CO. Sur ce point, X _________ SA a émis les prétentions suivantes : factures payées par X _________ SA dont le coût incombait A _________ SA (al. 28), par x’xxx’xxx fr. ; dommages et intérêts pour inexécution et/ou exécution défectueuse (al. 86), par xxx’xxx fr. ; à savoir un total de x’xxx’xxx fr..</w:t>
      </w:r>
    </w:p>
    <w:p>
      <w:r>
        <w:t>Aux termes de l'art. 398 al. 2 CO, le mandataire est responsable envers le mandant de la bonne et fidèle exécution du mandat; l'art. 398 al. 1 CO renvoie au surplus aux règles sur la responsabilité du travailleur dans les rapports de travail (art. 321e CO; cf. ég. art. 321 ss CO; ATF 119 II 456 consid. 2). Pour que la responsabilité du mandataire soit</w:t>
      </w:r>
    </w:p>
    <w:p>
      <w:r>
        <w:t>- 37 - engagée, il faut ainsi que l'on puisse lui reprocher une violation des règles de l'art (1°), un dommage (2°), une relation de causalité – naturelle et adéquate – entre le manquement et le dommage (3°) et, enfin, une faute (4°), laquelle est présumée (art. 97 CO; cf. ATF 108 II 59 consid. 1; 105 II 284 consid. 1 ; sur les conditions de l’action, cf. TERCIER/FAVRE, op. cit., n. 5196 ss, p. 779). Comme pour toute responsabilité, ces conditions sont cumulatives (arrêt 4C.88/2004 du 2 juin 2004 consid. 3.1). L'échec de la mission assumée n'est certes pas suffisant pour engager la responsabilité du mandataire; il doit seulement réparer les conséquences d'actes ou d'omissions contraires à son devoir de diligence. La norme SIA 102, inspirée par le Code d’honneur de l’UIA (Union internationale des architectes) précise les devoirs de l’architecte. A teneur de ce règlement, l’architecte se doit notamment de servir les intérêts de son mandant au mieux de sa conscience, en faisant appel à tout son savoir. Le mandataire tient compte de l’état généralement reconnu des connaissances propres à sa profession, qui correspond à la définition de l’obligation de moyens caractérisant le mandat. Pour juger du niveau des exigences et déterminer l’étendue du devoir de diligence qui incombe au mandataire, il faut tenir compte de critères objectifs. Les exigences ne peuvent pas être définies de manière abstraite une fois pour toutes (ATF 133 III 121 consid. 3.1); elles dépendent de la nature des activités prévues par le mandat, analysée en fonction de l’ensemble des circonstances concrètes du cas d’espèce, notamment de la difficulté du service (ATF 117 II 563 consid. 2a), du temps à disposition du mandataire (ATF 120 II 248 consid. 2c), des moyens disponibles, de la marge d’appréciation, du caractère habituel ou inhabituel de l’affaire (arrêt 4A_75/2007 du 4 juin 2007 consid. 4.3), de l’importance de l’affaire et de la qualification des parties, en particulier des aptitudes, connaissances techniques et capacités du mandataire que le mandant connaît ou aurait dû connaitre (ATF 127 III 357 consid. 1 et 3). Il s'agit donc de déterminer comment un mandataire consciencieux, placé dans la même situation, aurait agi en gérant l'affaire en cause; les exigences sont plus rigoureuses à l'égard du mandataire qui exerce son activité à titre professionnel et contre rémunération (cf. ATF 115 II 62 consid. 3a; arrêt 4A_329/2009 du 1er décembre 2010 consid. 3.3 ; cf. ég. FELLMANN, Berner Kommentar, n. 406 ss ad art. 398 CO). Le niveau des exigences est souvent fixé dans des règles déontologiques ou des règles générales, appelées «règles de l’art». Sur ce point, il est fréquent que le juge s’en remette largement à l’avis d’un expert (TERCIER/FAVRE, op. cit., n. 5125 et 5127). Le mandataire (architecte) s’adjoindra lui-même les services d’un spécialiste lors de difficultés particulières. S’il est chargé de la surveillance des travaux, il répond des fautes de coordination et des instructions insuffisantes données aux maîtres d’état (ABRAVANEL, Les devoirs généraux de l’architecte, in Gauch/Tercier, Le</w:t>
      </w:r>
    </w:p>
    <w:p>
      <w:r>
        <w:t>- 38 - droit de l’architecte, p. 99 ss, n. 335, p. 106 ; FELLMANN, op. cit., n. 371-373 ad art. 398 CO).</w:t>
      </w:r>
    </w:p>
    <w:p>
      <w:r>
        <w:t>En l’espèce, le déroulement du chantier n'a pas connu de problèmes, comme en attestent les procès-verbaux de chantier qui n'ont donné lieu à aucune remarque de la part de la demanderesse. A l’instar de l’expert, le tribunal considère que la demanderesse ne peut pas émettre de prétention à l’égard de la défenderesse, notamment pour les anomalies constatées par le nouvel architecte mandaté.</w:t>
      </w:r>
    </w:p>
    <w:p>
      <w:r>
        <w:t>De surcroît, initialement, la demanderesse réclamait à la défenderesse x’xxx’xxx fr., avec intérêt moyen dès le 1er janvier 2010. Par la suite, le 16 janvier 2012 (p. 479), la demanderesse, assistée d’un avocat professionnel, a modifié ses conclusions, et a retiré cette conclusion.</w:t>
      </w:r>
    </w:p>
    <w:p>
      <w:r>
        <w:t>Partant, en tout état de cause, cette prétention de la demanderesse doit être rejetée.</w:t>
      </w:r>
    </w:p>
    <w:p>
      <w:r>
        <w:rPr>
          <w:b/>
        </w:rPr>
        <w:t>E. 6</w:t>
      </w:r>
    </w:p>
    <w:p>
      <w:r>
        <w:t>En procédure, la demanderesse a invoqué enfin un contrat de courtage inexécuté. Selon elle, la défenderesse aurait aussi proposé la vente du projet résidentiel « Parc Avenue ». Selon elle, la défenderesse a donné toutes garanties pour obtenir un prix de l'ordre de xx’xxx’xxx fr. Selon la demanderesse, elle a dû vendre la promotion pour xx’xxx’xxx fr. à P _________ SA, alors que si la défenderesse avait accompli ses obligations découlant de l’éventuel contrat de courtage, il aurait été possible d'obtenir xx’xxx’xxx fr. Selon elle, le dommage est ainsi de x’xxx’xxx fr. Selon la demanderesse, un contrat de courtage exclusif aurait été conclu. L’exclusivité aurait été conférée à la défenderesse, laquelle avait déjà prévu en sa faveur une commission de 3 à 5 %. Selon elle, l'inexécution du contrat de courtage par la défenderesse engage sa responsabilité au sens de l’art. 398 CO.</w:t>
      </w:r>
    </w:p>
    <w:p>
      <w:r>
        <w:t>Sur ce point, le 2 mai 2011, la demanderesse a mis en demeure la défenderesse de lui verser x’xxx’xxx fr., à titre de dommage. Le 16 mai 2011, un commandement de payer, poursuite n° xxx de x’xxx’xxx fr. a été notifié à la défenderesse par l’OPF de D _________ et a été frappé d'opposition.</w:t>
      </w:r>
    </w:p>
    <w:p>
      <w:r>
        <w:t>La demanderesse ne réclame plus le montant précité en la présente procédure. De surcroît, rien n’atteste qu’un contrat de mandat aurait été conclu. Professionnelles des</w:t>
      </w:r>
    </w:p>
    <w:p>
      <w:r>
        <w:t>- 39 - affaires immobilières, les parties n’auraient pas manqué, le cas échéant, de signer un véritable contrat de courtage, si telle avait été la volonté des parties.</w:t>
      </w:r>
    </w:p>
    <w:p>
      <w:r>
        <w:t>Partant, en tout état de cause, cette éventuelle prétention de la demanderesse doit être rejetée.</w:t>
      </w:r>
    </w:p>
    <w:p>
      <w:r>
        <w:rPr>
          <w:b/>
        </w:rPr>
        <w:t>E. 7</w:t>
      </w:r>
    </w:p>
    <w:p>
      <w:r>
        <w:t>Jusqu’à la fin de l’instruction, la défenderesse a réclamé à la demanderesse xxx’xxx fr. plus intérêts, ainsi que xxx’xxx fr. plus intérêts, pour les avances effectuées à divers entrepreneurs. Dans ses dernières conclusion, elle réclame xxx’xxx fr., plus intérêts à 5 % dès le 21 septembre 2009, ainsi que xxx’xxx fr. plus intérêts à 5 % dès le 21 septembre 2009 pour les avances effectuées à divers entrepreneurs.</w:t>
      </w:r>
    </w:p>
    <w:p>
      <w:r>
        <w:t>S’agissant du premier montant, la défenderesse fonde cette prétention sur le premier rapport d'expertise qui estimait l'ensemble des prestations effectuées par elle à xxx’xxx fr., dont xxx’xxx fr. à titre d'indemnités pour les prestations non accomplies. Selon elle, à ce montant de xxx’xxx fr. TTC s'ajoute une somme de xx’xxx fr. correspondant aux 4% et 2% pris en considération à 100% dans le décompte de A _________ SA. Selon elle, s'y ajoute encore une somme de xx’xxx fr. correspondant au point 4.5 soit à la phase finale.</w:t>
      </w:r>
    </w:p>
    <w:p>
      <w:r>
        <w:t>Sur ce point, comme indiqué plus haut (consid. 3), la demanderesse doit xxx’xxx fr. à la défenderesse.</w:t>
      </w:r>
    </w:p>
    <w:p>
      <w:r>
        <w:t>S’agissant du second montant de xxx’xxx fr., la défenderesse fonde cette prétention en raison des paiements qu’elle a dû effectuer, lesquels sont consécutifs à l'ouvrage. La demanderesse doit rembourser les factures payées en avance par la défenderesse, lesquelles se montent à xxx’xxx fr. (facture de x’xxx fr. payée à la commune de L _________ ; facture de xx fr. payée à R _________ SA ; facture de xx’xxx fr. payée à la N _________ ; facture de x’xxx fr. payée à la N _________ ; facture de x’xxx fr. payée à I _________ SA ; facture de xxx fr. payée à I _________ SA ; facture de x’xxx fr. payée à I _________ SA ; facture de xxx’xxx fr. payée à Q ________ SA ; facture de xxx fr. payée à O _________ SA). Ces factures sont établies et sont à la charge de la demanderesse.</w:t>
      </w:r>
    </w:p>
    <w:p>
      <w:r>
        <w:t>Partant, la demanderesse doit encore xxx’xxx fr. à la défenderesse.</w:t>
      </w:r>
    </w:p>
    <w:p>
      <w:r>
        <w:rPr>
          <w:b/>
        </w:rPr>
        <w:t>E. 8</w:t>
      </w:r>
    </w:p>
    <w:p>
      <w:r>
        <w:t>En définitive, pour les motifs énoncés plus haut, la demanderesse doit être reconnue débitrice de la défenderesse à concurrence de xxx’xxx fr., avec intérêt légal à 5% l’an</w:t>
      </w:r>
    </w:p>
    <w:p>
      <w:r>
        <w:t>- 40 - (art. 104 al. 1 CO) dès le 30 décembre 2009, lendemain de la réception de l'interpellation contenue dans la mise en demeure du 28 décembre 2009 (art. 102 al. 1 CO). Pour l’essentiel, ce montant correspond à celui réclamé dans la poursuite n° xxx de l’office des poursuites de B _________.</w:t>
      </w:r>
    </w:p>
    <w:p>
      <w:r>
        <w:t>Partant, l’action en libération de dette introduite par la demanderesse doit être rejetée, si bien que la mainlevée accordée à titre provisoire le 16 décembre 2011 devrait devenir définitive, à concurrence du montant précité (art. 83 al. 3 LP). Cependant, comme la défenderesse ne conclut pas à la mainlevée définitive, cette dernière n’a pas à être prononcée, à peine de statuer ultra petita.</w:t>
      </w:r>
    </w:p>
    <w:p>
      <w:r>
        <w:t>En outre, la demanderesse doit également être reconnue débitrice de la défenderesse à concurrence de xxx’xxx fr., également avec intérêt légal à 5% dès le 30 décembre 2009.</w:t>
      </w:r>
    </w:p>
    <w:p>
      <w:r>
        <w:rPr>
          <w:b/>
        </w:rPr>
        <w:t>E. 9</w:t>
      </w:r>
    </w:p>
    <w:p>
      <w:r>
        <w:t>Les conclusions de la demanderesse étant rejetées, et les conclusions de la défenderesse admises pour l’essentiel, les frais de procédure et de jugement sont mis à la charge de la demanderesse.</w:t>
      </w:r>
    </w:p>
    <w:p>
      <w:r>
        <w:rPr>
          <w:b/>
        </w:rPr>
        <w:t>E. 9.1</w:t>
      </w:r>
    </w:p>
    <w:p>
      <w:r>
        <w:t>Les débours totaux de l'autorité (art. 3 al. 2, 7 à 12 LTar) comprennent les indemnités des témoins (xx fr. + xxx fr. + xxx fr. + xxx fr.), les frais de la procédure de preuve à futur (xx’xxx fr., débours + émolument), les frais d'expertises (xx’xxx fr. + xx’xxx fr.), les frais I _________ SA (xxx fr.), les frais du RF (xx fr.), les frais de copie de la commune de L _________ (xxx fr.), ainsi que les indemnités d'huissier (xxx fr.), à savoir au total xx’xxx fr..</w:t>
      </w:r>
    </w:p>
    <w:p>
      <w:r>
        <w:t>Jusqu’au 12 janvier 2012, après la fin des échanges d’écritures, la valeur litigieuse s’élevait à x’xxx’xxx fr. ; depuis cette date, elle est de xxx’xxx fr. (xxx’xxx fr. + xxx’xxx fr.) ; avec le mémoire-conclusions, elle est de xxx’xxx fr. (xxx’xxx fr. + xxx’xxx fr.).</w:t>
      </w:r>
    </w:p>
    <w:p>
      <w:r>
        <w:t>Selon l'art. 16 LTar, pour les contestations civiles de nature pécuniaire d'une valeur de xxx’xxx fr. à x’xxx’xxx fr., l'émolument est fixé entre xx’xxx fr. et xx’xxx fr. Pour les contestations civiles de nature pécuniaire d'une valeur litigieuse supérieure à x’xxx’xxx fr., l'émolument est fixé entre xx’xxx fr. et xx’xxx francs. Eu égard aux valeurs litigieuses successives de x’xxx’xxx fr., de xxx’xxx fr. et de xxx’xxx fr., à la nature, la complexité et à la difficulté de l'affaire, aux circonstances et à la situation des parties</w:t>
      </w:r>
    </w:p>
    <w:p>
      <w:r>
        <w:t>- 41 - notamment, l'émolument et les débours du tribunal sont fixés à x’xxx’xxx fr. au total (émolument : xx’xxx fr.; débours : xx’xxx fr. (art. 3 al. 1 LTar).</w:t>
      </w:r>
    </w:p>
    <w:p>
      <w:r>
        <w:t>Les avances totales des parties s'élèvent à xxx’xxx fr. dans la présente procédure xx’xxx fr. dans le C2, sous déduction de x’xxx fr. et x’xxx fr. qui ont déjà été restitués aux parties. Les avances couvrent donc les frais du Tribunal (xxx’xxx fr. + xx’xxx fr. – x’xxx fr. – x’xxx fr. = xxx’xxx fr.). Partant, la demanderesse versera encore x’xxx fr. à la défenderesse en remboursement de toutes ses avances.</w:t>
      </w:r>
    </w:p>
    <w:p>
      <w:r>
        <w:rPr>
          <w:b/>
        </w:rPr>
        <w:t>E. 9.2</w:t>
      </w:r>
    </w:p>
    <w:p>
      <w:r>
        <w:t>Les dépens, arrêtés globalement, comprennent l'indemnité à la partie pouvant y prétendre et ses frais d'avocat (art. 4 al. 1 LTar). Les frais d'avocat comprennent les honoraires et les débours (art. 4 al. 3 LTar).</w:t>
      </w:r>
    </w:p>
    <w:p>
      <w:r>
        <w:t>Jusqu’au 12 janvier 2012, après la fin des échanges d’écritures, la valeur litigieuse s’élevait à x’xxx’xxx fr. Depuis cette date, elle est de xxx’xxx fr. (xxx’xxx fr. + xxx’xxx fr.), puis finalement de xxx’xxx fr..</w:t>
      </w:r>
    </w:p>
    <w:p>
      <w:r>
        <w:t>Selon l'art. 32 LTar, pour les contestations civiles de nature pécuniaire entre xxx’xxx fr. et x’xxx’xxx fr., les honoraires sont fixés entre xx’xxx fr. et xx’xxx fr. Pour les contestations civiles de nature pécuniaire d'une valeur litigieuse supérieure à x’xxx’xxx fr., les honoraires sont de 3,3 % sans dépasser xxx’xxx francs. Les honoraires sont fixés entre un minimum et un maximum prévus par le chapitre 4 de la LTar, d'après la nature et l'importance de la cause, ses difficultés, l'ampleur du travail, le temps utilement consacré par l'avocat et la situation financière des parties (art. 27 al. 1 LTar). Ils sont en règle générale, proportionnels à la valeur litigieuse (art. 27 al. 2 LTar). Eu égard aux principes exposés et à la règle posée à l'art. 29 al. 2 LTar, le tribunal fixe à xx’xxx fr., le montant dû à la défenderesse par la demanderesse du chef des dépens, honoraires et débours compris, y compris ceux de la cause C2 10 12.</w:t>
      </w:r>
    </w:p>
    <w:p>
      <w:r>
        <w:t>Par ces motifs,</w:t>
      </w:r>
    </w:p>
    <w:p>
      <w:r>
        <w:t>- 42 - PRONONCE</w:t>
      </w:r>
    </w:p>
    <w:p>
      <w:r>
        <w:t>1. L’action en libération de dette ouverte par X _________ SA est rejetée.</w:t>
      </w:r>
    </w:p>
    <w:p>
      <w:r>
        <w:t>2. En conséquence, X _________ SA versera à Y _________ SA :</w:t>
      </w:r>
    </w:p>
    <w:p>
      <w:r>
        <w:t>- xxx’xxx fr. avec intérêt à 5% dès le 30 décembre 2009,</w:t>
      </w:r>
    </w:p>
    <w:p>
      <w:r>
        <w:t>- xxx’xxx fr. avec intérêt à 5% dès le 30 décembre 2009.</w:t>
      </w:r>
    </w:p>
    <w:p>
      <w:r>
        <w:t>2. Les frais totaux du tribunal, par xxx’xxx fr., sont mis à la charge de X _________ SA.</w:t>
      </w:r>
    </w:p>
    <w:p>
      <w:r>
        <w:t>3. X _________ SA versera xx’xxx fr. à Y _________ SA, à titre de dépens, et x’xxx fr., en remboursement de ses avances.</w:t>
      </w:r>
    </w:p>
    <w:p>
      <w:r>
        <w:t>Sion, le 2 février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